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DD" w:rsidRPr="008264DD" w:rsidRDefault="008264DD" w:rsidP="0082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>Attachment C</w:t>
      </w:r>
    </w:p>
    <w:p w:rsidR="008264DD" w:rsidRPr="008264DD" w:rsidRDefault="008264DD" w:rsidP="0082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64DD" w:rsidRDefault="008264DD" w:rsidP="00826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>Summary Budget Request</w:t>
      </w:r>
    </w:p>
    <w:p w:rsidR="00437003" w:rsidRDefault="00437003" w:rsidP="00437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If applying for Part A and MAI complete a separate form for each </w:t>
      </w:r>
    </w:p>
    <w:p w:rsidR="00437003" w:rsidRDefault="00437003" w:rsidP="00437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Provide detail about all funding sources</w:t>
      </w:r>
    </w:p>
    <w:p w:rsidR="00437003" w:rsidRPr="008264DD" w:rsidRDefault="00437003" w:rsidP="00437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Provide detailed description of how you will track billing to other sources for services funded by Part A to prevent double billing</w:t>
      </w:r>
    </w:p>
    <w:p w:rsidR="008264DD" w:rsidRPr="008264DD" w:rsidRDefault="008264DD" w:rsidP="00826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>Line Item Budget</w:t>
      </w:r>
    </w:p>
    <w:p w:rsidR="008264DD" w:rsidRDefault="008264DD" w:rsidP="008264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>Budget and Justification Narrative (including Formula for Cost per Unit of Service)</w:t>
      </w:r>
    </w:p>
    <w:p w:rsidR="00437003" w:rsidRPr="008264DD" w:rsidRDefault="00437003" w:rsidP="004370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Items included in cost per unit cannot be charged separately to administration</w:t>
      </w:r>
    </w:p>
    <w:p w:rsidR="008264DD" w:rsidRPr="008264DD" w:rsidRDefault="008264DD" w:rsidP="008264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64DD" w:rsidRPr="008264DD" w:rsidRDefault="008264DD" w:rsidP="008264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64DD" w:rsidRPr="008264DD" w:rsidRDefault="008264DD" w:rsidP="0082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264DD" w:rsidRPr="008264DD" w:rsidRDefault="008264DD" w:rsidP="008264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Summary Budget Request Part </w:t>
      </w:r>
      <w:proofErr w:type="gramStart"/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proofErr w:type="gramEnd"/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id w:val="37551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DD">
            <w:rPr>
              <w:rFonts w:ascii="MS Gothic" w:eastAsia="MS Gothic" w:hAnsi="MS Gothic" w:cs="MS Gothic" w:hint="eastAsia"/>
              <w:b/>
              <w:bCs/>
              <w:sz w:val="36"/>
              <w:szCs w:val="36"/>
            </w:rPr>
            <w:t>☐</w:t>
          </w:r>
        </w:sdtContent>
      </w:sdt>
      <w:r w:rsidRPr="008264D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or MAI </w:t>
      </w:r>
      <w:sdt>
        <w:sdtPr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id w:val="20203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4DD">
            <w:rPr>
              <w:rFonts w:ascii="MS Gothic" w:eastAsia="MS Gothic" w:hAnsi="MS Gothic" w:cs="MS Gothic" w:hint="eastAsia"/>
              <w:b/>
              <w:bCs/>
              <w:sz w:val="36"/>
              <w:szCs w:val="36"/>
            </w:rPr>
            <w:t>☐</w:t>
          </w:r>
        </w:sdtContent>
      </w:sdt>
    </w:p>
    <w:tbl>
      <w:tblPr>
        <w:tblpPr w:leftFromText="180" w:rightFromText="180" w:horzAnchor="margin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2"/>
        <w:gridCol w:w="2591"/>
        <w:gridCol w:w="2308"/>
        <w:gridCol w:w="1905"/>
      </w:tblGrid>
      <w:tr w:rsidR="008264DD" w:rsidRPr="008264DD" w:rsidTr="00D35625">
        <w:trPr>
          <w:trHeight w:val="530"/>
        </w:trPr>
        <w:tc>
          <w:tcPr>
            <w:tcW w:w="2772" w:type="dxa"/>
            <w:shd w:val="clear" w:color="auto" w:fill="F2F2F2"/>
          </w:tcPr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</w:rPr>
              <w:t>Core Medical Services</w:t>
            </w:r>
          </w:p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2F2F2"/>
          </w:tcPr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</w:rPr>
              <w:t>Requested Amount</w:t>
            </w:r>
          </w:p>
        </w:tc>
        <w:tc>
          <w:tcPr>
            <w:tcW w:w="2308" w:type="dxa"/>
            <w:shd w:val="clear" w:color="auto" w:fill="F2F2F2"/>
          </w:tcPr>
          <w:p w:rsidR="008264DD" w:rsidRPr="008264DD" w:rsidRDefault="00A11D97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1D9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All </w:t>
            </w:r>
            <w:r w:rsidR="008264DD" w:rsidRPr="008264DD">
              <w:rPr>
                <w:rFonts w:ascii="Times New Roman" w:eastAsia="Times New Roman" w:hAnsi="Times New Roman" w:cs="Times New Roman"/>
                <w:b/>
              </w:rPr>
              <w:t>Other Funding Sources for this Service and Amount(s)</w:t>
            </w:r>
          </w:p>
        </w:tc>
        <w:tc>
          <w:tcPr>
            <w:tcW w:w="1905" w:type="dxa"/>
            <w:shd w:val="clear" w:color="auto" w:fill="F2F2F2"/>
          </w:tcPr>
          <w:p w:rsidR="008264DD" w:rsidRPr="008264DD" w:rsidRDefault="008264DD" w:rsidP="00D3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64DD">
              <w:rPr>
                <w:rFonts w:ascii="Times New Roman" w:eastAsia="Times New Roman" w:hAnsi="Times New Roman" w:cs="Times New Roman"/>
                <w:b/>
              </w:rPr>
              <w:t>Total Funding for this Service</w:t>
            </w:r>
            <w:r w:rsidR="00D35625">
              <w:rPr>
                <w:rFonts w:ascii="Times New Roman" w:eastAsia="Times New Roman" w:hAnsi="Times New Roman" w:cs="Times New Roman"/>
                <w:b/>
              </w:rPr>
              <w:t xml:space="preserve"> from all Your Sources</w:t>
            </w: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Outpatient/Ambulatory Health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AIDS Pharmaceutical Assistance</w:t>
            </w:r>
            <w:r w:rsidR="003C0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Oral Health Care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Early Intervention Services (EIS)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Health Insurance Premium and Cost Sharing Assistance for Low-Income Individuals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Nutrition Therapy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Case Management, including Treatment Adherence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Substance Abuse Outpatient Care 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557"/>
        </w:trPr>
        <w:tc>
          <w:tcPr>
            <w:tcW w:w="2772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</w:rPr>
              <w:t>Support Services</w:t>
            </w:r>
          </w:p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</w:rPr>
              <w:t>Non-Medical Case Management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Financial Assistance - Food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Financial Assistance - Utilities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Financial Assistance - Pharmacy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Financial Assistance - Housing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Food Bank/Home Delivered Meals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Health Education/Risk Reduction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Other Professional Services (</w:t>
            </w:r>
            <w:r w:rsidRPr="008264DD">
              <w:rPr>
                <w:rFonts w:ascii="Times New Roman" w:eastAsia="Times New Roman" w:hAnsi="Times New Roman" w:cs="Times New Roman"/>
              </w:rPr>
              <w:t>Legal Services</w:t>
            </w:r>
            <w:r w:rsidR="003C07D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</w:rPr>
              <w:t>Linguistic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</w:rPr>
              <w:t>Medical Transportation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vAlign w:val="bottom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Outreach Services</w:t>
            </w:r>
          </w:p>
        </w:tc>
        <w:tc>
          <w:tcPr>
            <w:tcW w:w="259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3C07DB" w:rsidRPr="008264DD" w:rsidTr="0064563E">
        <w:trPr>
          <w:trHeight w:val="432"/>
        </w:trPr>
        <w:tc>
          <w:tcPr>
            <w:tcW w:w="2772" w:type="dxa"/>
            <w:vAlign w:val="bottom"/>
          </w:tcPr>
          <w:p w:rsidR="003C07DB" w:rsidRPr="008264DD" w:rsidRDefault="003C07DB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Psychosocial Support Services</w:t>
            </w:r>
          </w:p>
        </w:tc>
        <w:tc>
          <w:tcPr>
            <w:tcW w:w="2591" w:type="dxa"/>
          </w:tcPr>
          <w:p w:rsidR="003C07DB" w:rsidRPr="008264DD" w:rsidRDefault="003C07DB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3C07DB" w:rsidRPr="008264DD" w:rsidRDefault="003C07DB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C07DB" w:rsidRPr="008264DD" w:rsidRDefault="003C07DB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shd w:val="clear" w:color="auto" w:fill="auto"/>
            <w:vAlign w:val="bottom"/>
          </w:tcPr>
          <w:p w:rsidR="008264DD" w:rsidRPr="008264DD" w:rsidRDefault="008264DD" w:rsidP="003C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Abuse Services (Residential)</w:t>
            </w:r>
          </w:p>
        </w:tc>
        <w:tc>
          <w:tcPr>
            <w:tcW w:w="2591" w:type="dxa"/>
            <w:shd w:val="clear" w:color="auto" w:fill="auto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432"/>
        </w:trPr>
        <w:tc>
          <w:tcPr>
            <w:tcW w:w="2772" w:type="dxa"/>
            <w:shd w:val="clear" w:color="auto" w:fill="F2F2F2"/>
            <w:vAlign w:val="bottom"/>
          </w:tcPr>
          <w:p w:rsidR="008264DD" w:rsidRPr="008264DD" w:rsidRDefault="008264DD" w:rsidP="008264DD">
            <w:pPr>
              <w:spacing w:after="0" w:line="240" w:lineRule="auto"/>
              <w:ind w:right="-49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ind w:right="-49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</w:rPr>
              <w:t>Total Amount Requested</w:t>
            </w:r>
          </w:p>
        </w:tc>
        <w:tc>
          <w:tcPr>
            <w:tcW w:w="2591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0145C" w:rsidRDefault="0050145C" w:rsidP="008264D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145C" w:rsidRDefault="0050145C" w:rsidP="0050145C">
      <w:r w:rsidRPr="0050145C">
        <w:rPr>
          <w:b/>
        </w:rPr>
        <w:t>If you have staff positions that are funded fully or partially by Part B or other sources, and you are seeking Part A funding for these services, please explain how you will manage this to prevent double billing for those services.</w:t>
      </w:r>
    </w:p>
    <w:p w:rsidR="008264DD" w:rsidRPr="008264DD" w:rsidRDefault="0050145C" w:rsidP="0050145C">
      <w:pPr>
        <w:rPr>
          <w:b/>
          <w:sz w:val="36"/>
          <w:szCs w:val="36"/>
        </w:rPr>
      </w:pPr>
      <w:r>
        <w:t xml:space="preserve"> </w:t>
      </w:r>
      <w:r w:rsidRPr="0050145C">
        <w:t xml:space="preserve">   </w:t>
      </w:r>
      <w:r w:rsidR="008264DD" w:rsidRPr="0050145C">
        <w:br w:type="page"/>
      </w:r>
      <w:r w:rsidR="008264DD" w:rsidRPr="008264DD">
        <w:rPr>
          <w:b/>
          <w:sz w:val="36"/>
          <w:szCs w:val="36"/>
        </w:rPr>
        <w:lastRenderedPageBreak/>
        <w:t xml:space="preserve">Line Item Budget Request Part </w:t>
      </w:r>
      <w:proofErr w:type="gramStart"/>
      <w:r w:rsidR="008264DD" w:rsidRPr="008264DD">
        <w:rPr>
          <w:b/>
          <w:sz w:val="36"/>
          <w:szCs w:val="36"/>
        </w:rPr>
        <w:t>A</w:t>
      </w:r>
      <w:proofErr w:type="gramEnd"/>
      <w:r w:rsidR="008264DD" w:rsidRPr="008264DD">
        <w:rPr>
          <w:b/>
          <w:sz w:val="36"/>
          <w:szCs w:val="36"/>
        </w:rPr>
        <w:t xml:space="preserve"> </w:t>
      </w:r>
      <w:sdt>
        <w:sdtPr>
          <w:rPr>
            <w:b/>
            <w:sz w:val="36"/>
            <w:szCs w:val="36"/>
          </w:rPr>
          <w:id w:val="-1398746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DD" w:rsidRPr="008264DD">
            <w:rPr>
              <w:rFonts w:ascii="MS Gothic" w:eastAsia="MS Gothic" w:hAnsi="MS Gothic" w:cs="MS Gothic" w:hint="eastAsia"/>
              <w:b/>
              <w:sz w:val="36"/>
              <w:szCs w:val="36"/>
            </w:rPr>
            <w:t>☐</w:t>
          </w:r>
        </w:sdtContent>
      </w:sdt>
      <w:r w:rsidR="008264DD" w:rsidRPr="008264DD">
        <w:rPr>
          <w:b/>
          <w:sz w:val="36"/>
          <w:szCs w:val="36"/>
        </w:rPr>
        <w:t xml:space="preserve"> or MAI </w:t>
      </w:r>
      <w:sdt>
        <w:sdtPr>
          <w:rPr>
            <w:b/>
            <w:sz w:val="36"/>
            <w:szCs w:val="36"/>
          </w:rPr>
          <w:id w:val="-33778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4DD" w:rsidRPr="008264DD">
            <w:rPr>
              <w:rFonts w:ascii="MS Gothic" w:eastAsia="MS Gothic" w:hAnsi="MS Gothic" w:cs="MS Gothic" w:hint="eastAsia"/>
              <w:b/>
              <w:sz w:val="36"/>
              <w:szCs w:val="36"/>
            </w:rPr>
            <w:t>☐</w:t>
          </w:r>
        </w:sdtContent>
      </w:sdt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277"/>
        <w:gridCol w:w="2301"/>
        <w:gridCol w:w="1953"/>
      </w:tblGrid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2277" w:type="dxa"/>
            <w:shd w:val="clear" w:color="auto" w:fill="F2F2F2"/>
          </w:tcPr>
          <w:p w:rsidR="008264DD" w:rsidRPr="008264DD" w:rsidRDefault="00437003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Part A or MAI </w:t>
            </w:r>
            <w:r w:rsidR="008264DD"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Funding Request</w:t>
            </w:r>
          </w:p>
        </w:tc>
        <w:tc>
          <w:tcPr>
            <w:tcW w:w="2301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Units Provided</w:t>
            </w:r>
          </w:p>
        </w:tc>
        <w:tc>
          <w:tcPr>
            <w:tcW w:w="1953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Anticipated Number of Clients to be Served</w:t>
            </w: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Service Funds Requested</w:t>
            </w: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Administration</w:t>
            </w: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4DD" w:rsidRPr="008264DD" w:rsidTr="0064563E">
        <w:trPr>
          <w:trHeight w:val="872"/>
          <w:jc w:val="center"/>
        </w:trPr>
        <w:tc>
          <w:tcPr>
            <w:tcW w:w="2307" w:type="dxa"/>
            <w:shd w:val="clear" w:color="auto" w:fill="F2F2F2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Amount Requested</w:t>
            </w:r>
          </w:p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7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8264DD" w:rsidRPr="008264DD" w:rsidRDefault="008264DD" w:rsidP="00826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145C" w:rsidRDefault="0050145C" w:rsidP="0082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45C" w:rsidRDefault="0050145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264DD" w:rsidRPr="008264DD" w:rsidRDefault="008264DD" w:rsidP="008264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4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Please insert a sheet directly behind this form which includes:</w:t>
      </w:r>
    </w:p>
    <w:p w:rsidR="008264DD" w:rsidRDefault="008264DD" w:rsidP="008264D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4DD">
        <w:rPr>
          <w:rFonts w:ascii="Times New Roman" w:eastAsia="Times New Roman" w:hAnsi="Times New Roman" w:cs="Times New Roman"/>
          <w:bCs/>
          <w:sz w:val="24"/>
          <w:szCs w:val="24"/>
        </w:rPr>
        <w:t>Detailed narrative justification of Line Item Budget Request (including the components used to determine the amount requested for administration</w:t>
      </w:r>
      <w:r w:rsidR="0050145C">
        <w:rPr>
          <w:rFonts w:ascii="Times New Roman" w:eastAsia="Times New Roman" w:hAnsi="Times New Roman" w:cs="Times New Roman"/>
          <w:bCs/>
          <w:sz w:val="24"/>
          <w:szCs w:val="24"/>
        </w:rPr>
        <w:t>.  If items are charged to administration they cannot also be calculated into cost per unit of service</w:t>
      </w:r>
      <w:r w:rsidRPr="008264D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01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64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0145C" w:rsidRPr="008264DD" w:rsidRDefault="0050145C" w:rsidP="0050145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0B79" w:rsidRDefault="008264DD" w:rsidP="00D3562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64DD">
        <w:rPr>
          <w:rFonts w:ascii="Times New Roman" w:eastAsia="Times New Roman" w:hAnsi="Times New Roman" w:cs="Times New Roman"/>
          <w:bCs/>
          <w:sz w:val="24"/>
          <w:szCs w:val="24"/>
        </w:rPr>
        <w:t>Detailed formula for costs used to determine the requested cost per unit of service.</w:t>
      </w:r>
    </w:p>
    <w:p w:rsidR="0050145C" w:rsidRPr="00D35625" w:rsidRDefault="0050145C" w:rsidP="0050145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Items that are included in the cost per unit cannot be charged to administration. </w:t>
      </w:r>
    </w:p>
    <w:sectPr w:rsidR="0050145C" w:rsidRPr="00D3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011"/>
    <w:multiLevelType w:val="hybridMultilevel"/>
    <w:tmpl w:val="6498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B7F03"/>
    <w:multiLevelType w:val="hybridMultilevel"/>
    <w:tmpl w:val="DB4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DD"/>
    <w:rsid w:val="003C07DB"/>
    <w:rsid w:val="00437003"/>
    <w:rsid w:val="0050145C"/>
    <w:rsid w:val="00730B79"/>
    <w:rsid w:val="008264DD"/>
    <w:rsid w:val="00A11D97"/>
    <w:rsid w:val="00D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020F-3ABE-448C-8445-BDB03F5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Butler</dc:creator>
  <cp:lastModifiedBy>Michael Butler </cp:lastModifiedBy>
  <cp:revision>6</cp:revision>
  <cp:lastPrinted>2019-12-17T14:24:00Z</cp:lastPrinted>
  <dcterms:created xsi:type="dcterms:W3CDTF">2019-12-17T14:19:00Z</dcterms:created>
  <dcterms:modified xsi:type="dcterms:W3CDTF">2019-12-18T14:34:00Z</dcterms:modified>
</cp:coreProperties>
</file>